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0632" w:type="dxa"/>
        <w:tblInd w:w="-998" w:type="dxa"/>
        <w:tblLook w:val="04A0" w:firstRow="1" w:lastRow="0" w:firstColumn="1" w:lastColumn="0" w:noHBand="0" w:noVBand="1"/>
      </w:tblPr>
      <w:tblGrid>
        <w:gridCol w:w="1364"/>
        <w:gridCol w:w="1250"/>
        <w:gridCol w:w="1419"/>
        <w:gridCol w:w="1213"/>
        <w:gridCol w:w="1559"/>
        <w:gridCol w:w="1334"/>
        <w:gridCol w:w="1252"/>
        <w:gridCol w:w="1241"/>
      </w:tblGrid>
      <w:tr w:rsidR="00006731" w:rsidRPr="00006731" w:rsidTr="00B63AD0">
        <w:tc>
          <w:tcPr>
            <w:tcW w:w="10632" w:type="dxa"/>
            <w:gridSpan w:val="8"/>
            <w:shd w:val="clear" w:color="auto" w:fill="8EAADB" w:themeFill="accent1" w:themeFillTint="99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Table 6</w:t>
            </w:r>
            <w:r w:rsidRPr="00006731">
              <w:t>. Methodological Quality of included RCT (The Cochrane Collaboration´s tool).</w:t>
            </w:r>
          </w:p>
        </w:tc>
      </w:tr>
      <w:tr w:rsidR="00006731" w:rsidRPr="00006731" w:rsidTr="00B63AD0">
        <w:tc>
          <w:tcPr>
            <w:tcW w:w="1364" w:type="dxa"/>
            <w:vMerge w:val="restart"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Study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</w:p>
        </w:tc>
        <w:tc>
          <w:tcPr>
            <w:tcW w:w="9268" w:type="dxa"/>
            <w:gridSpan w:val="7"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Domain</w:t>
            </w:r>
          </w:p>
        </w:tc>
      </w:tr>
      <w:tr w:rsidR="00006731" w:rsidRPr="00006731" w:rsidTr="00B63AD0">
        <w:tc>
          <w:tcPr>
            <w:tcW w:w="1364" w:type="dxa"/>
            <w:vMerge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</w:pPr>
          </w:p>
        </w:tc>
        <w:tc>
          <w:tcPr>
            <w:tcW w:w="1250" w:type="dxa"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Random Sequence Generation</w:t>
            </w:r>
          </w:p>
        </w:tc>
        <w:tc>
          <w:tcPr>
            <w:tcW w:w="1419" w:type="dxa"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Allocation Concealment</w:t>
            </w:r>
          </w:p>
        </w:tc>
        <w:tc>
          <w:tcPr>
            <w:tcW w:w="1213" w:type="dxa"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Selective Reporting</w:t>
            </w:r>
          </w:p>
        </w:tc>
        <w:tc>
          <w:tcPr>
            <w:tcW w:w="1559" w:type="dxa"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Blinding of Participants and Personnel</w:t>
            </w:r>
          </w:p>
        </w:tc>
        <w:tc>
          <w:tcPr>
            <w:tcW w:w="1334" w:type="dxa"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Blinding of Outcome Assessment</w:t>
            </w:r>
          </w:p>
        </w:tc>
        <w:tc>
          <w:tcPr>
            <w:tcW w:w="1252" w:type="dxa"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Incomplete Outcome Data</w:t>
            </w:r>
          </w:p>
        </w:tc>
        <w:tc>
          <w:tcPr>
            <w:tcW w:w="1241" w:type="dxa"/>
            <w:shd w:val="clear" w:color="auto" w:fill="D9E2F3" w:themeFill="accent1" w:themeFillTint="33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Other Bias</w:t>
            </w:r>
          </w:p>
        </w:tc>
      </w:tr>
      <w:tr w:rsidR="00006731" w:rsidRPr="00006731" w:rsidTr="00B63AD0">
        <w:tc>
          <w:tcPr>
            <w:tcW w:w="1364" w:type="dxa"/>
            <w:shd w:val="clear" w:color="auto" w:fill="D5DCE4" w:themeFill="text2" w:themeFillTint="33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Doi et al [56], 2013.</w:t>
            </w:r>
          </w:p>
        </w:tc>
        <w:tc>
          <w:tcPr>
            <w:tcW w:w="1250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41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213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55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334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252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241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</w:tr>
      <w:tr w:rsidR="00006731" w:rsidRPr="00006731" w:rsidTr="00B63AD0">
        <w:tc>
          <w:tcPr>
            <w:tcW w:w="1364" w:type="dxa"/>
            <w:shd w:val="clear" w:color="auto" w:fill="D5DCE4" w:themeFill="text2" w:themeFillTint="33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Donnezan et al [57], 2018.</w:t>
            </w:r>
          </w:p>
        </w:tc>
        <w:tc>
          <w:tcPr>
            <w:tcW w:w="1250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41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213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55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334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252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241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</w:tr>
      <w:tr w:rsidR="00006731" w:rsidRPr="00006731" w:rsidTr="00B63AD0">
        <w:tc>
          <w:tcPr>
            <w:tcW w:w="1364" w:type="dxa"/>
            <w:shd w:val="clear" w:color="auto" w:fill="D5DCE4" w:themeFill="text2" w:themeFillTint="33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rPr>
                <w:bCs/>
              </w:rPr>
              <w:t xml:space="preserve">Schwenk et al </w:t>
            </w:r>
            <w:r w:rsidRPr="00006731">
              <w:t xml:space="preserve">[58], </w:t>
            </w:r>
            <w:r w:rsidRPr="00006731">
              <w:rPr>
                <w:bCs/>
              </w:rPr>
              <w:t>2016.</w:t>
            </w:r>
          </w:p>
        </w:tc>
        <w:tc>
          <w:tcPr>
            <w:tcW w:w="1250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41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213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55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High risk</w:t>
            </w:r>
          </w:p>
        </w:tc>
        <w:tc>
          <w:tcPr>
            <w:tcW w:w="1334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252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241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</w:tr>
      <w:tr w:rsidR="00006731" w:rsidRPr="00006731" w:rsidTr="00B63AD0">
        <w:tc>
          <w:tcPr>
            <w:tcW w:w="1364" w:type="dxa"/>
            <w:shd w:val="clear" w:color="auto" w:fill="D5DCE4" w:themeFill="text2" w:themeFillTint="33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Fogarty et al [59], 2016.</w:t>
            </w:r>
          </w:p>
        </w:tc>
        <w:tc>
          <w:tcPr>
            <w:tcW w:w="1250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41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213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55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334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252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241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</w:tr>
      <w:tr w:rsidR="00006731" w:rsidRPr="00006731" w:rsidTr="00B63AD0">
        <w:tc>
          <w:tcPr>
            <w:tcW w:w="1364" w:type="dxa"/>
            <w:shd w:val="clear" w:color="auto" w:fill="D5DCE4" w:themeFill="text2" w:themeFillTint="33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Bae et al [60], 2018.</w:t>
            </w:r>
          </w:p>
        </w:tc>
        <w:tc>
          <w:tcPr>
            <w:tcW w:w="1250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41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213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55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334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252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241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</w:tr>
      <w:tr w:rsidR="00006731" w:rsidRPr="00006731" w:rsidTr="00B63AD0">
        <w:tc>
          <w:tcPr>
            <w:tcW w:w="1364" w:type="dxa"/>
            <w:shd w:val="clear" w:color="auto" w:fill="D5DCE4" w:themeFill="text2" w:themeFillTint="33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Delbroek et al [61], 2017.</w:t>
            </w:r>
          </w:p>
        </w:tc>
        <w:tc>
          <w:tcPr>
            <w:tcW w:w="1250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41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213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559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334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Unclear</w:t>
            </w:r>
          </w:p>
        </w:tc>
        <w:tc>
          <w:tcPr>
            <w:tcW w:w="1252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  <w:tc>
          <w:tcPr>
            <w:tcW w:w="1241" w:type="dxa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>Low risk</w:t>
            </w:r>
          </w:p>
        </w:tc>
      </w:tr>
      <w:tr w:rsidR="00CD0D7E" w:rsidRPr="00006731" w:rsidTr="00B63AD0">
        <w:tc>
          <w:tcPr>
            <w:tcW w:w="1364" w:type="dxa"/>
            <w:shd w:val="clear" w:color="auto" w:fill="D5DCE4" w:themeFill="text2" w:themeFillTint="33"/>
          </w:tcPr>
          <w:p w:rsidR="00CD0D7E" w:rsidRPr="00006731" w:rsidRDefault="00CD0D7E" w:rsidP="00006731">
            <w:r>
              <w:t>Liao et al [62], 2019.</w:t>
            </w:r>
          </w:p>
        </w:tc>
        <w:tc>
          <w:tcPr>
            <w:tcW w:w="1250" w:type="dxa"/>
          </w:tcPr>
          <w:p w:rsidR="00CD0D7E" w:rsidRPr="00006731" w:rsidRDefault="00E80713" w:rsidP="00006731">
            <w:r>
              <w:t>Unclear</w:t>
            </w:r>
          </w:p>
        </w:tc>
        <w:tc>
          <w:tcPr>
            <w:tcW w:w="1419" w:type="dxa"/>
          </w:tcPr>
          <w:p w:rsidR="00CD0D7E" w:rsidRPr="00006731" w:rsidRDefault="008341F1" w:rsidP="00006731">
            <w:r>
              <w:t>High</w:t>
            </w:r>
          </w:p>
        </w:tc>
        <w:tc>
          <w:tcPr>
            <w:tcW w:w="1213" w:type="dxa"/>
          </w:tcPr>
          <w:p w:rsidR="00CD0D7E" w:rsidRPr="00006731" w:rsidRDefault="00BA6092" w:rsidP="00006731">
            <w:r>
              <w:t>Low risk</w:t>
            </w:r>
          </w:p>
        </w:tc>
        <w:tc>
          <w:tcPr>
            <w:tcW w:w="1559" w:type="dxa"/>
          </w:tcPr>
          <w:p w:rsidR="00CD0D7E" w:rsidRPr="00006731" w:rsidRDefault="00BA6092" w:rsidP="00006731">
            <w:r>
              <w:t>Low risk</w:t>
            </w:r>
          </w:p>
        </w:tc>
        <w:tc>
          <w:tcPr>
            <w:tcW w:w="1334" w:type="dxa"/>
          </w:tcPr>
          <w:p w:rsidR="00CD0D7E" w:rsidRPr="00006731" w:rsidRDefault="00BA6092" w:rsidP="00006731">
            <w:r>
              <w:t>Unclear</w:t>
            </w:r>
          </w:p>
        </w:tc>
        <w:tc>
          <w:tcPr>
            <w:tcW w:w="1252" w:type="dxa"/>
          </w:tcPr>
          <w:p w:rsidR="00CD0D7E" w:rsidRPr="00006731" w:rsidRDefault="00BA6092" w:rsidP="00006731">
            <w:r>
              <w:t>Low risk</w:t>
            </w:r>
          </w:p>
        </w:tc>
        <w:tc>
          <w:tcPr>
            <w:tcW w:w="1241" w:type="dxa"/>
          </w:tcPr>
          <w:p w:rsidR="00CD0D7E" w:rsidRPr="00006731" w:rsidRDefault="00BA6092" w:rsidP="00006731">
            <w:r>
              <w:t>Low risk</w:t>
            </w:r>
          </w:p>
        </w:tc>
      </w:tr>
      <w:tr w:rsidR="00006731" w:rsidRPr="00006731" w:rsidTr="00B63AD0">
        <w:tc>
          <w:tcPr>
            <w:tcW w:w="1364" w:type="dxa"/>
            <w:shd w:val="clear" w:color="auto" w:fill="D0CECE" w:themeFill="background2" w:themeFillShade="E6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Summary</w:t>
            </w:r>
          </w:p>
        </w:tc>
        <w:tc>
          <w:tcPr>
            <w:tcW w:w="1250" w:type="dxa"/>
            <w:shd w:val="clear" w:color="auto" w:fill="D0CECE" w:themeFill="background2" w:themeFillShade="E6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 xml:space="preserve">Low: </w:t>
            </w:r>
            <w:r w:rsidR="00E80713">
              <w:rPr>
                <w:b/>
              </w:rPr>
              <w:t>3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High: 0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 xml:space="preserve">Unclear: </w:t>
            </w:r>
            <w:r w:rsidR="00E80713">
              <w:rPr>
                <w:b/>
              </w:rPr>
              <w:t>4</w:t>
            </w:r>
          </w:p>
        </w:tc>
        <w:tc>
          <w:tcPr>
            <w:tcW w:w="1419" w:type="dxa"/>
            <w:shd w:val="clear" w:color="auto" w:fill="D0CECE" w:themeFill="background2" w:themeFillShade="E6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 xml:space="preserve">Low: </w:t>
            </w:r>
            <w:r w:rsidR="008341F1">
              <w:rPr>
                <w:b/>
              </w:rPr>
              <w:t>1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 xml:space="preserve">High: </w:t>
            </w:r>
            <w:r w:rsidR="008341F1">
              <w:rPr>
                <w:b/>
              </w:rPr>
              <w:t>1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Unclear: 5</w:t>
            </w:r>
          </w:p>
        </w:tc>
        <w:tc>
          <w:tcPr>
            <w:tcW w:w="1213" w:type="dxa"/>
            <w:shd w:val="clear" w:color="auto" w:fill="D0CECE" w:themeFill="background2" w:themeFillShade="E6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 xml:space="preserve">Low: </w:t>
            </w:r>
            <w:r w:rsidR="008341F1">
              <w:rPr>
                <w:b/>
              </w:rPr>
              <w:t>3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High: 0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Unclear: 4</w:t>
            </w:r>
          </w:p>
        </w:tc>
        <w:tc>
          <w:tcPr>
            <w:tcW w:w="1559" w:type="dxa"/>
            <w:shd w:val="clear" w:color="auto" w:fill="D0CECE" w:themeFill="background2" w:themeFillShade="E6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 xml:space="preserve">Low: </w:t>
            </w:r>
            <w:r w:rsidR="008341F1">
              <w:rPr>
                <w:b/>
              </w:rPr>
              <w:t>2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High: 1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Unclear: 4</w:t>
            </w:r>
          </w:p>
        </w:tc>
        <w:tc>
          <w:tcPr>
            <w:tcW w:w="1334" w:type="dxa"/>
            <w:shd w:val="clear" w:color="auto" w:fill="D0CECE" w:themeFill="background2" w:themeFillShade="E6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Low: 2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High: 0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 xml:space="preserve">Unclear: </w:t>
            </w:r>
            <w:r w:rsidR="008341F1">
              <w:rPr>
                <w:b/>
              </w:rPr>
              <w:t>5</w:t>
            </w:r>
          </w:p>
        </w:tc>
        <w:tc>
          <w:tcPr>
            <w:tcW w:w="1252" w:type="dxa"/>
            <w:shd w:val="clear" w:color="auto" w:fill="D0CECE" w:themeFill="background2" w:themeFillShade="E6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 xml:space="preserve">Low: </w:t>
            </w:r>
            <w:r w:rsidR="008341F1">
              <w:rPr>
                <w:b/>
              </w:rPr>
              <w:t>7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High: 0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Unclear: 0</w:t>
            </w:r>
          </w:p>
        </w:tc>
        <w:tc>
          <w:tcPr>
            <w:tcW w:w="1241" w:type="dxa"/>
            <w:shd w:val="clear" w:color="auto" w:fill="D0CECE" w:themeFill="background2" w:themeFillShade="E6"/>
          </w:tcPr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 xml:space="preserve">Low: </w:t>
            </w:r>
            <w:r w:rsidR="008341F1">
              <w:rPr>
                <w:b/>
              </w:rPr>
              <w:t>7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High: 0</w:t>
            </w:r>
          </w:p>
          <w:p w:rsidR="00006731" w:rsidRPr="00006731" w:rsidRDefault="00006731" w:rsidP="00006731">
            <w:pPr>
              <w:spacing w:after="160" w:line="259" w:lineRule="auto"/>
              <w:rPr>
                <w:b/>
              </w:rPr>
            </w:pPr>
            <w:r w:rsidRPr="00006731">
              <w:rPr>
                <w:b/>
              </w:rPr>
              <w:t>Unclear: 0</w:t>
            </w:r>
          </w:p>
        </w:tc>
      </w:tr>
      <w:tr w:rsidR="00006731" w:rsidRPr="00006731" w:rsidTr="00E97CB3">
        <w:trPr>
          <w:trHeight w:val="1324"/>
        </w:trPr>
        <w:tc>
          <w:tcPr>
            <w:tcW w:w="10632" w:type="dxa"/>
            <w:gridSpan w:val="8"/>
          </w:tcPr>
          <w:p w:rsidR="00006731" w:rsidRPr="00006731" w:rsidRDefault="00006731" w:rsidP="00006731">
            <w:pPr>
              <w:spacing w:after="160" w:line="259" w:lineRule="auto"/>
            </w:pPr>
            <w:r w:rsidRPr="00006731">
              <w:t xml:space="preserve">In summary, for incomplete outcome data and other bias, all studies had low risk of bias. For random sequence generation, </w:t>
            </w:r>
            <w:r w:rsidR="00E80713">
              <w:t>4</w:t>
            </w:r>
            <w:r w:rsidRPr="00006731">
              <w:t xml:space="preserve"> studies did not provide enough detail to determine whether a random sequence generation was used, and 3 studies were identified to have a low risk of bias. For allocation concealment, </w:t>
            </w:r>
            <w:r w:rsidR="00E80713" w:rsidRPr="00006731">
              <w:t xml:space="preserve">1 study had a </w:t>
            </w:r>
            <w:r w:rsidR="00E80713">
              <w:t>high</w:t>
            </w:r>
            <w:r w:rsidR="00E80713" w:rsidRPr="00006731">
              <w:t xml:space="preserve"> risk of bias</w:t>
            </w:r>
            <w:r w:rsidR="00E80713">
              <w:t xml:space="preserve">, </w:t>
            </w:r>
            <w:r w:rsidRPr="00006731">
              <w:t xml:space="preserve">1 study had a low risk of bias, however, 5 studies did not provide enough detail to determine whether an allocated concealmed was employed. For selective reporting and blinding of outcome assessment, </w:t>
            </w:r>
            <w:r w:rsidR="00E80713">
              <w:t>3</w:t>
            </w:r>
            <w:r w:rsidRPr="00006731">
              <w:t xml:space="preserve"> studies had a low risk of bias and 4 studies showed an unclear risk of bias. Finally, for blinding of personnel and participants, </w:t>
            </w:r>
            <w:r w:rsidR="00E80713">
              <w:t>2</w:t>
            </w:r>
            <w:r w:rsidRPr="00006731">
              <w:t xml:space="preserve"> stud</w:t>
            </w:r>
            <w:r w:rsidR="00E80713">
              <w:t>ies</w:t>
            </w:r>
            <w:bookmarkStart w:id="0" w:name="_GoBack"/>
            <w:bookmarkEnd w:id="0"/>
            <w:r w:rsidRPr="00006731">
              <w:t xml:space="preserve"> had a low risk of bias; 1 study had a high risk of bias since it was an open-label randomized controlled trial, and 4 studies did not specify if participants and personnel were blinded.</w:t>
            </w:r>
          </w:p>
        </w:tc>
      </w:tr>
    </w:tbl>
    <w:p w:rsidR="00006731" w:rsidRDefault="00006731"/>
    <w:sectPr w:rsidR="0000673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6731"/>
    <w:rsid w:val="00006731"/>
    <w:rsid w:val="008341F1"/>
    <w:rsid w:val="00B63AD0"/>
    <w:rsid w:val="00BA6092"/>
    <w:rsid w:val="00CD0D7E"/>
    <w:rsid w:val="00E80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EA79FF"/>
  <w15:chartTrackingRefBased/>
  <w15:docId w15:val="{0D0BE598-4A8F-4A2B-859D-ADFDE6A1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067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298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José Fuentes Abolafio</dc:creator>
  <cp:keywords/>
  <dc:description/>
  <cp:lastModifiedBy>Iván José Fuentes Abolafio</cp:lastModifiedBy>
  <cp:revision>3</cp:revision>
  <dcterms:created xsi:type="dcterms:W3CDTF">2019-07-31T07:10:00Z</dcterms:created>
  <dcterms:modified xsi:type="dcterms:W3CDTF">2020-02-27T19:18:00Z</dcterms:modified>
</cp:coreProperties>
</file>